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DFE" w:rsidRPr="00955DFE" w:rsidRDefault="00955DFE" w:rsidP="00955DFE">
      <w:pPr>
        <w:ind w:left="644" w:right="418" w:hanging="360"/>
        <w:jc w:val="center"/>
        <w:rPr>
          <w:b/>
          <w:bCs/>
        </w:rPr>
      </w:pPr>
      <w:r w:rsidRPr="00955DFE">
        <w:rPr>
          <w:b/>
          <w:bCs/>
        </w:rPr>
        <w:t>Art. 120</w:t>
      </w:r>
    </w:p>
    <w:p w:rsidR="0056196C" w:rsidRDefault="00AB5057" w:rsidP="00AB5057">
      <w:pPr>
        <w:pStyle w:val="Paragrafoelenco"/>
        <w:numPr>
          <w:ilvl w:val="0"/>
          <w:numId w:val="2"/>
        </w:numPr>
        <w:ind w:right="418"/>
        <w:jc w:val="both"/>
      </w:pPr>
      <w:r>
        <w:t>I contratti possono essere modificati senza una nuova gara:</w:t>
      </w:r>
    </w:p>
    <w:p w:rsidR="00AB5057" w:rsidRDefault="00AB5057" w:rsidP="00AB5057">
      <w:pPr>
        <w:pStyle w:val="Paragrafoelenco"/>
        <w:numPr>
          <w:ilvl w:val="1"/>
          <w:numId w:val="2"/>
        </w:numPr>
        <w:ind w:right="418"/>
        <w:jc w:val="both"/>
      </w:pPr>
      <w:r>
        <w:t xml:space="preserve">se le modifiche sono previste negli atti di gara anche in clausole di opzione; </w:t>
      </w:r>
    </w:p>
    <w:p w:rsidR="00AB5057" w:rsidRDefault="00AB5057" w:rsidP="00AB5057">
      <w:pPr>
        <w:pStyle w:val="Paragrafoelenco"/>
        <w:numPr>
          <w:ilvl w:val="1"/>
          <w:numId w:val="2"/>
        </w:numPr>
        <w:ind w:right="418"/>
        <w:jc w:val="both"/>
      </w:pPr>
      <w:r>
        <w:t>per la sopravvenienza di lavori, servizi o forniture laddove il cambiamento del                           contraente: b.1) risulti antieconomico; b.2) comporti un sostanziale incremento di costi</w:t>
      </w:r>
    </w:p>
    <w:p w:rsidR="00AB5057" w:rsidRDefault="00AB5057" w:rsidP="00AB5057">
      <w:pPr>
        <w:pStyle w:val="Paragrafoelenco"/>
        <w:numPr>
          <w:ilvl w:val="1"/>
          <w:numId w:val="2"/>
        </w:numPr>
        <w:ind w:right="418"/>
        <w:jc w:val="both"/>
      </w:pPr>
      <w:r>
        <w:t>per le varianti in corso d’opera;</w:t>
      </w:r>
    </w:p>
    <w:p w:rsidR="00AB5057" w:rsidRDefault="00AB5057" w:rsidP="00AB5057">
      <w:pPr>
        <w:pStyle w:val="Paragrafoelenco"/>
        <w:numPr>
          <w:ilvl w:val="1"/>
          <w:numId w:val="2"/>
        </w:numPr>
        <w:ind w:right="418"/>
        <w:jc w:val="both"/>
      </w:pPr>
      <w:r>
        <w:t>se il contraente viene sostituito a causa di morte o fallimento oppure di sostituzione della S.A. nel rapporto con i subappaltatori</w:t>
      </w:r>
    </w:p>
    <w:p w:rsidR="00AB5057" w:rsidRDefault="00AB5057" w:rsidP="00AB5057">
      <w:pPr>
        <w:pStyle w:val="Paragrafoelenco"/>
        <w:numPr>
          <w:ilvl w:val="0"/>
          <w:numId w:val="2"/>
        </w:numPr>
        <w:ind w:right="418"/>
        <w:jc w:val="both"/>
      </w:pPr>
      <w:r>
        <w:t>nei casi di cui alle lett. b) e c) il contratto può essere modificato solo se il prezzo non ecceda il 50% del valore dell’importo iniziale;</w:t>
      </w:r>
    </w:p>
    <w:p w:rsidR="00AB5057" w:rsidRDefault="00AB5057" w:rsidP="00AB5057">
      <w:pPr>
        <w:pStyle w:val="Paragrafoelenco"/>
        <w:numPr>
          <w:ilvl w:val="0"/>
          <w:numId w:val="2"/>
        </w:numPr>
        <w:ind w:right="418"/>
        <w:jc w:val="both"/>
      </w:pPr>
      <w:r>
        <w:t>i contratti possono essere modificati, senza la necessità di gara, allorquando la modifica sia: 3.1) sotto soglia; 3.2) contenuta nel 10% nel caso di servizi e forniture o nel 15% nel caso di lavori</w:t>
      </w:r>
    </w:p>
    <w:p w:rsidR="00AB5057" w:rsidRDefault="00AB5057" w:rsidP="00AB5057">
      <w:pPr>
        <w:pStyle w:val="Paragrafoelenco"/>
        <w:ind w:left="644" w:right="418"/>
        <w:jc w:val="both"/>
      </w:pPr>
    </w:p>
    <w:p w:rsidR="00AB5057" w:rsidRPr="00B6794F" w:rsidRDefault="00AB5057" w:rsidP="00AB5057">
      <w:pPr>
        <w:pStyle w:val="Paragrafoelenco"/>
        <w:ind w:left="644" w:right="418"/>
        <w:jc w:val="both"/>
        <w:rPr>
          <w:b/>
          <w:bCs/>
        </w:rPr>
      </w:pPr>
      <w:r w:rsidRPr="00B6794F">
        <w:rPr>
          <w:b/>
          <w:bCs/>
        </w:rPr>
        <w:t>SONO SEMPRE AMMESSE LE MODIFICHE NON SOSTANZIALI</w:t>
      </w:r>
    </w:p>
    <w:p w:rsidR="00AB5057" w:rsidRDefault="00AB5057" w:rsidP="00AB5057">
      <w:pPr>
        <w:pStyle w:val="Paragrafoelenco"/>
        <w:ind w:left="644" w:right="418"/>
        <w:jc w:val="both"/>
      </w:pPr>
    </w:p>
    <w:p w:rsidR="00AB5057" w:rsidRPr="00B6794F" w:rsidRDefault="00AB5057" w:rsidP="00B6794F">
      <w:pPr>
        <w:pStyle w:val="Paragrafoelenco"/>
        <w:ind w:left="644" w:right="418"/>
        <w:jc w:val="both"/>
        <w:rPr>
          <w:b/>
          <w:bCs/>
        </w:rPr>
      </w:pPr>
      <w:r w:rsidRPr="00B6794F">
        <w:rPr>
          <w:b/>
          <w:bCs/>
        </w:rPr>
        <w:t>Sono modiche sostanziali</w:t>
      </w:r>
      <w:r>
        <w:t>:</w:t>
      </w:r>
    </w:p>
    <w:p w:rsidR="00AB5057" w:rsidRDefault="00AB5057" w:rsidP="00AB5057">
      <w:pPr>
        <w:pStyle w:val="Paragrafoelenco"/>
        <w:numPr>
          <w:ilvl w:val="0"/>
          <w:numId w:val="3"/>
        </w:numPr>
        <w:ind w:right="418"/>
        <w:jc w:val="both"/>
      </w:pPr>
      <w:r>
        <w:t>la modifica è tale da aver potuto indurre altri operatori a partecipare alla gara;</w:t>
      </w:r>
    </w:p>
    <w:p w:rsidR="00AB5057" w:rsidRDefault="00B6794F" w:rsidP="00AB5057">
      <w:pPr>
        <w:pStyle w:val="Paragrafoelenco"/>
        <w:numPr>
          <w:ilvl w:val="0"/>
          <w:numId w:val="3"/>
        </w:numPr>
        <w:ind w:right="418"/>
        <w:jc w:val="both"/>
      </w:pPr>
      <w:r>
        <w:t>la modifica altera l’equilibrio economico del contratto e ne estende l’ambito applicativo;</w:t>
      </w:r>
    </w:p>
    <w:p w:rsidR="00B6794F" w:rsidRDefault="00B6794F" w:rsidP="00AB5057">
      <w:pPr>
        <w:pStyle w:val="Paragrafoelenco"/>
        <w:numPr>
          <w:ilvl w:val="0"/>
          <w:numId w:val="3"/>
        </w:numPr>
        <w:ind w:right="418"/>
        <w:jc w:val="both"/>
      </w:pPr>
      <w:r>
        <w:t>vi è la sostituzione del contraente</w:t>
      </w:r>
    </w:p>
    <w:p w:rsidR="00B6794F" w:rsidRDefault="00B6794F" w:rsidP="00B6794F">
      <w:pPr>
        <w:ind w:left="644" w:right="418"/>
        <w:jc w:val="both"/>
        <w:rPr>
          <w:b/>
          <w:bCs/>
        </w:rPr>
      </w:pPr>
    </w:p>
    <w:p w:rsidR="00B6794F" w:rsidRDefault="00B6794F" w:rsidP="00B6794F">
      <w:pPr>
        <w:ind w:left="644" w:right="418"/>
        <w:jc w:val="both"/>
        <w:rPr>
          <w:b/>
          <w:bCs/>
        </w:rPr>
      </w:pPr>
      <w:r>
        <w:rPr>
          <w:b/>
          <w:bCs/>
        </w:rPr>
        <w:t>Non s</w:t>
      </w:r>
      <w:r w:rsidRPr="00B6794F">
        <w:rPr>
          <w:b/>
          <w:bCs/>
        </w:rPr>
        <w:t>ono modiche sostanziali</w:t>
      </w:r>
      <w:r>
        <w:rPr>
          <w:b/>
          <w:bCs/>
        </w:rPr>
        <w:t>:</w:t>
      </w:r>
    </w:p>
    <w:p w:rsidR="00B6794F" w:rsidRDefault="00B6794F" w:rsidP="00B6794F">
      <w:pPr>
        <w:pStyle w:val="Paragrafoelenco"/>
        <w:numPr>
          <w:ilvl w:val="0"/>
          <w:numId w:val="4"/>
        </w:numPr>
        <w:ind w:right="418"/>
        <w:jc w:val="both"/>
      </w:pPr>
      <w:r>
        <w:t>quelle che assicurano risparmi di spesa da poter utilizzare in altri contratti;</w:t>
      </w:r>
    </w:p>
    <w:p w:rsidR="00B6794F" w:rsidRDefault="00B6794F" w:rsidP="00B6794F">
      <w:pPr>
        <w:pStyle w:val="Paragrafoelenco"/>
        <w:numPr>
          <w:ilvl w:val="0"/>
          <w:numId w:val="4"/>
        </w:numPr>
        <w:ind w:right="418"/>
        <w:jc w:val="both"/>
      </w:pPr>
      <w:r>
        <w:t>quelle che prevedono soluzioni migliorative a parità di prezzo</w:t>
      </w:r>
    </w:p>
    <w:p w:rsidR="00B6794F" w:rsidRDefault="00B6794F" w:rsidP="00B6794F">
      <w:pPr>
        <w:ind w:right="418"/>
        <w:jc w:val="both"/>
      </w:pPr>
    </w:p>
    <w:p w:rsidR="00B6794F" w:rsidRPr="00955DFE" w:rsidRDefault="00955DFE" w:rsidP="00B6794F">
      <w:pPr>
        <w:ind w:right="418"/>
        <w:jc w:val="both"/>
        <w:rPr>
          <w:b/>
          <w:bCs/>
        </w:rPr>
      </w:pPr>
      <w:proofErr w:type="gramStart"/>
      <w:r w:rsidRPr="00955DFE">
        <w:rPr>
          <w:b/>
          <w:bCs/>
        </w:rPr>
        <w:t>E’</w:t>
      </w:r>
      <w:proofErr w:type="gramEnd"/>
      <w:r w:rsidRPr="00955DFE">
        <w:rPr>
          <w:b/>
          <w:bCs/>
        </w:rPr>
        <w:t xml:space="preserve"> SEMPRE AMMESSO IL QUINTO D’OBBLIGO SENZA CHE L’APPALTATORE POSSA FAR VALERE IPOTESI RISOLUTORIE</w:t>
      </w:r>
    </w:p>
    <w:p w:rsidR="00955DFE" w:rsidRDefault="00955DFE" w:rsidP="00B6794F">
      <w:pPr>
        <w:ind w:right="418"/>
        <w:jc w:val="both"/>
        <w:rPr>
          <w:b/>
          <w:bCs/>
        </w:rPr>
      </w:pPr>
    </w:p>
    <w:p w:rsidR="00B6794F" w:rsidRDefault="00B6794F" w:rsidP="00B6794F">
      <w:pPr>
        <w:ind w:right="418"/>
        <w:jc w:val="both"/>
        <w:rPr>
          <w:b/>
          <w:bCs/>
        </w:rPr>
      </w:pPr>
      <w:r w:rsidRPr="00B6794F">
        <w:rPr>
          <w:b/>
          <w:bCs/>
        </w:rPr>
        <w:t>PROCEDIMENTO</w:t>
      </w:r>
    </w:p>
    <w:p w:rsidR="00B6794F" w:rsidRDefault="00955DFE" w:rsidP="00955DFE">
      <w:pPr>
        <w:pStyle w:val="Paragrafoelenco"/>
        <w:numPr>
          <w:ilvl w:val="0"/>
          <w:numId w:val="5"/>
        </w:numPr>
        <w:ind w:right="418"/>
        <w:jc w:val="both"/>
      </w:pPr>
      <w:r>
        <w:t>nel caso di richieste di rinegoziazione non previste nel contratto, il RUP provvede sulle richieste entro 3 mesi: in caso contrario, la parte può agire in giu</w:t>
      </w:r>
      <w:r w:rsidR="00D969C2">
        <w:t>dizio</w:t>
      </w:r>
      <w:r>
        <w:t xml:space="preserve"> per farla valere;</w:t>
      </w:r>
    </w:p>
    <w:p w:rsidR="00955DFE" w:rsidRDefault="00955DFE" w:rsidP="00955DFE">
      <w:pPr>
        <w:pStyle w:val="Paragrafoelenco"/>
        <w:numPr>
          <w:ilvl w:val="0"/>
          <w:numId w:val="5"/>
        </w:numPr>
        <w:ind w:right="418"/>
        <w:jc w:val="both"/>
      </w:pPr>
      <w:r>
        <w:t>le modifiche e le varianti – anche progettuale – sono previste dal RUP secondo l’Allegato II.14;</w:t>
      </w:r>
    </w:p>
    <w:p w:rsidR="00955DFE" w:rsidRPr="00955DFE" w:rsidRDefault="00955DFE" w:rsidP="00955DFE">
      <w:pPr>
        <w:pStyle w:val="Paragrafoelenco"/>
        <w:numPr>
          <w:ilvl w:val="0"/>
          <w:numId w:val="5"/>
        </w:numPr>
        <w:ind w:right="418"/>
        <w:jc w:val="both"/>
      </w:pPr>
      <w:r>
        <w:t>sono previsti obblighi comunicativi in Gazzetta Ufficiale e presso l’ANAC</w:t>
      </w:r>
    </w:p>
    <w:sectPr w:rsidR="00955DFE" w:rsidRPr="00955DFE" w:rsidSect="00064A2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E90"/>
    <w:multiLevelType w:val="hybridMultilevel"/>
    <w:tmpl w:val="58587DA4"/>
    <w:lvl w:ilvl="0" w:tplc="354897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62E03"/>
    <w:multiLevelType w:val="hybridMultilevel"/>
    <w:tmpl w:val="D5AE1FD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C72886"/>
    <w:multiLevelType w:val="hybridMultilevel"/>
    <w:tmpl w:val="BC64E6EA"/>
    <w:lvl w:ilvl="0" w:tplc="DA6AB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33CA2F2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206F98"/>
    <w:multiLevelType w:val="hybridMultilevel"/>
    <w:tmpl w:val="0418875E"/>
    <w:lvl w:ilvl="0" w:tplc="3DD2F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155F"/>
    <w:multiLevelType w:val="hybridMultilevel"/>
    <w:tmpl w:val="15AA9F5E"/>
    <w:lvl w:ilvl="0" w:tplc="4E86D39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1317716">
    <w:abstractNumId w:val="1"/>
  </w:num>
  <w:num w:numId="2" w16cid:durableId="920407811">
    <w:abstractNumId w:val="2"/>
  </w:num>
  <w:num w:numId="3" w16cid:durableId="820345741">
    <w:abstractNumId w:val="0"/>
  </w:num>
  <w:num w:numId="4" w16cid:durableId="1991397472">
    <w:abstractNumId w:val="4"/>
  </w:num>
  <w:num w:numId="5" w16cid:durableId="181721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57"/>
    <w:rsid w:val="00064A2E"/>
    <w:rsid w:val="000842E7"/>
    <w:rsid w:val="0056196C"/>
    <w:rsid w:val="00775342"/>
    <w:rsid w:val="00955DFE"/>
    <w:rsid w:val="00A165F9"/>
    <w:rsid w:val="00AB5057"/>
    <w:rsid w:val="00B6794F"/>
    <w:rsid w:val="00CA42FE"/>
    <w:rsid w:val="00D9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C3D22"/>
  <w15:chartTrackingRefBased/>
  <w15:docId w15:val="{ABE8CE80-36B2-2646-85A0-5AE384F6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barbieri</dc:creator>
  <cp:keywords/>
  <dc:description/>
  <cp:lastModifiedBy>alessandro barbieri</cp:lastModifiedBy>
  <cp:revision>2</cp:revision>
  <cp:lastPrinted>2024-01-28T09:22:00Z</cp:lastPrinted>
  <dcterms:created xsi:type="dcterms:W3CDTF">2024-01-28T08:49:00Z</dcterms:created>
  <dcterms:modified xsi:type="dcterms:W3CDTF">2024-01-29T09:36:00Z</dcterms:modified>
</cp:coreProperties>
</file>